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RussianRail G Pro" w:cs="RussianRail G Pro" w:eastAsia="RussianRail G Pro" w:hAnsi="RussianRail G Pro"/>
          <w:color w:val="000000"/>
          <w:sz w:val="32"/>
          <w:szCs w:val="32"/>
        </w:rPr>
      </w:pPr>
      <w:r w:rsidDel="00000000" w:rsidR="00000000" w:rsidRPr="00000000">
        <w:rPr>
          <w:rFonts w:ascii="RussianRail G Pro" w:cs="RussianRail G Pro" w:eastAsia="RussianRail G Pro" w:hAnsi="RussianRail G Pro"/>
          <w:color w:val="000000"/>
          <w:sz w:val="32"/>
          <w:szCs w:val="32"/>
          <w:rtl w:val="0"/>
        </w:rPr>
        <w:t xml:space="preserve">ОАО «РЖД»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RussianRail G Pro" w:cs="RussianRail G Pro" w:eastAsia="RussianRail G Pro" w:hAnsi="RussianRail G Pro"/>
          <w:b w:val="1"/>
          <w:color w:val="000000"/>
          <w:sz w:val="32"/>
          <w:szCs w:val="32"/>
        </w:rPr>
      </w:pPr>
      <w:r w:rsidDel="00000000" w:rsidR="00000000" w:rsidRPr="00000000">
        <w:rPr>
          <w:rFonts w:ascii="RussianRail G Pro" w:cs="RussianRail G Pro" w:eastAsia="RussianRail G Pro" w:hAnsi="RussianRail G Pro"/>
          <w:b w:val="1"/>
          <w:color w:val="000000"/>
          <w:sz w:val="32"/>
          <w:szCs w:val="32"/>
          <w:rtl w:val="0"/>
        </w:rPr>
        <w:t xml:space="preserve">ТЕЛЕГРАММА</w:t>
      </w:r>
    </w:p>
    <w:p w:rsidR="00000000" w:rsidDel="00000000" w:rsidP="00000000" w:rsidRDefault="00000000" w:rsidRPr="00000000">
      <w:pPr>
        <w:pBdr/>
        <w:shd w:fill="ffffff" w:val="clear"/>
        <w:spacing w:line="360" w:lineRule="auto"/>
        <w:contextualSpacing w:val="0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5670.0" w:type="dxa"/>
        <w:jc w:val="left"/>
        <w:tblInd w:w="-250.0" w:type="dxa"/>
        <w:tblLayout w:type="fixed"/>
        <w:tblLook w:val="0400"/>
      </w:tblPr>
      <w:tblGrid>
        <w:gridCol w:w="5670"/>
        <w:tblGridChange w:id="0">
          <w:tblGrid>
            <w:gridCol w:w="567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pBdr/>
              <w:spacing w:before="120" w:line="360" w:lineRule="auto"/>
              <w:ind w:firstLine="708"/>
              <w:contextualSpacing w:val="0"/>
              <w:rPr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Всем НЗК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before="120" w:line="240" w:lineRule="auto"/>
              <w:ind w:left="709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Руководителям филиалов и структурных подразделений                   ОАО «РЖД» (по списку)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64" w:lineRule="auto"/>
        <w:ind w:firstLine="709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соответствии с телеграммой ОАО «РЖД» от 27.03.2020 №ИСХ-6501 для работников ОАО «РЖД» дни с 30 марта по 3 апреля 2020 г. считаются рабочими. В соответствии с телеграммой ОАО «РЖД» от 27.03.2020 № ИСХ-6493 в детских садах ОАО «РЖД» на период с 28 марта по 5 апреля будет осуществляться работа дежурных групп для присмотра и ухода за детьми. Посещение дежурных групп возможно по заявлению родителей или их законных представителей.</w:t>
      </w:r>
    </w:p>
    <w:p w:rsidR="00000000" w:rsidDel="00000000" w:rsidP="00000000" w:rsidRDefault="00000000" w:rsidRPr="00000000">
      <w:pPr>
        <w:pBdr/>
        <w:spacing w:line="264" w:lineRule="auto"/>
        <w:ind w:firstLine="709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этом, в соответствии с Указом Президента РФ от 25.03.2020 № 260 «Об объявлении в Российской Федерации нерабочих дней», муниципальные детские сады не относятся к непрерывно действующим организациям и в ряде населенных пунктов в период с 30 марта по 3 апреля будут закрыты. Для тех работников ОАО «РЖД», у которых на период с 30 марта по 3 апреля 2020 г. дети вынужденно остаются без присмотра, рекомендуется в первую очередь рассмотреть возможность перевода на дистанционную работу. В случае отсутствия такой возможности, по согласованию с руководителями подразделений и с учетом производственных задач, рекомендуется, при наличии заявления, оформить в указанный период часть очередного ежегодного оплачиваемого отпуска, в том числе, при необходимости – в счет будущих периодов.      </w:t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ЦКАДР</w:t>
        <w:tab/>
        <w:t xml:space="preserve"> С.Ю.Саратов</w:t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 xml:space="preserve">                                                                 </w:t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tabs>
          <w:tab w:val="left" w:pos="7655"/>
        </w:tabs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Исп. Сугак С.А., ЦБР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2-05-15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0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NanumGothic"/>
  <w:font w:name="Georgia"/>
  <w:font w:name="RussianRail G Pro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NanumGothic" w:cs="NanumGothic" w:eastAsia="NanumGothic" w:hAnsi="NanumGothic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77"/>
        <w:tab w:val="right" w:pos="9355"/>
      </w:tabs>
      <w:spacing w:after="0" w:before="708" w:line="240" w:lineRule="auto"/>
      <w:ind w:left="0" w:right="0" w:firstLine="0"/>
      <w:contextualSpacing w:val="0"/>
      <w:jc w:val="left"/>
      <w:rPr>
        <w:rFonts w:ascii="NanumGothic" w:cs="NanumGothic" w:eastAsia="NanumGothic" w:hAnsi="NanumGothic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NanumGothic" w:cs="NanumGothic" w:eastAsia="NanumGothic" w:hAnsi="NanumGothic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5E0E78"/>
    <w:pPr>
      <w:spacing w:after="0" w:line="240" w:lineRule="auto"/>
    </w:pPr>
    <w:rPr>
      <w:rFonts w:ascii="NanumGothic" w:cs="NanumGothic" w:eastAsia="NanumGothic" w:hAnsi="NanumGothic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E0E78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5E0E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 w:val="1"/>
    <w:unhideWhenUsed w:val="1"/>
    <w:rsid w:val="001C0D26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rsid w:val="001C0D26"/>
    <w:rPr>
      <w:rFonts w:ascii="NanumGothic" w:cs="NanumGothic" w:eastAsia="NanumGothic" w:hAnsi="NanumGothic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 w:val="1"/>
    <w:unhideWhenUsed w:val="1"/>
    <w:rsid w:val="001C0D26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semiHidden w:val="1"/>
    <w:rsid w:val="001C0D26"/>
    <w:rPr>
      <w:rFonts w:ascii="NanumGothic" w:cs="NanumGothic" w:eastAsia="NanumGothic" w:hAnsi="NanumGothic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